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WISCONSIN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w8ojAt4KA5jP99ISMzqxlIekw==">CgMxLjA4AHIhMW9PX2VySjV0VjdqQkUyRC1rR01RWXpmRFcwTGJKTFBD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