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ISSISSIPPI</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