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WASHINGTON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WASHINGTON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