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DAKOTA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DAKOTA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