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COLORADO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COLORADO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